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78" w:rsidRPr="008C4A2D" w:rsidRDefault="004D4078" w:rsidP="004D4078">
      <w:pPr>
        <w:pStyle w:val="Prrafodelista"/>
        <w:ind w:left="0"/>
        <w:jc w:val="both"/>
        <w:rPr>
          <w:rFonts w:ascii="Arial" w:hAnsi="Arial" w:cs="Arial"/>
          <w:b/>
          <w:caps/>
        </w:rPr>
      </w:pPr>
      <w:r w:rsidRPr="008C4A2D">
        <w:rPr>
          <w:rFonts w:ascii="Arial" w:eastAsia="Times New Roman" w:hAnsi="Arial"/>
          <w:b/>
          <w:caps/>
          <w:lang w:eastAsia="es-ES"/>
        </w:rPr>
        <w:t>Reglamento para las Construcciones del Municipio de Monterrey, Nuevo León: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D4078" w:rsidRPr="003A6DDE" w:rsidTr="00263784">
        <w:tc>
          <w:tcPr>
            <w:tcW w:w="4489" w:type="dxa"/>
          </w:tcPr>
          <w:p w:rsidR="004D4078" w:rsidRPr="003A6DDE" w:rsidRDefault="004D4078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489" w:type="dxa"/>
          </w:tcPr>
          <w:p w:rsidR="004D4078" w:rsidRPr="003A6DDE" w:rsidRDefault="004D4078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DEBE DECIR</w:t>
            </w:r>
          </w:p>
        </w:tc>
      </w:tr>
      <w:tr w:rsidR="004D4078" w:rsidRPr="003A6DDE" w:rsidTr="00263784">
        <w:trPr>
          <w:trHeight w:val="1150"/>
        </w:trPr>
        <w:tc>
          <w:tcPr>
            <w:tcW w:w="4489" w:type="dxa"/>
          </w:tcPr>
          <w:p w:rsidR="004D4078" w:rsidRDefault="004D4078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1F3EE6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CAPÍTULO XIII </w:t>
            </w:r>
          </w:p>
          <w:p w:rsidR="004D4078" w:rsidRDefault="004D4078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4D4078" w:rsidRDefault="004D4078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1F3EE6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DE LOS RECURSOS Y MEDIOS DE DEFENSA </w:t>
            </w:r>
          </w:p>
          <w:p w:rsidR="004D4078" w:rsidRDefault="004D4078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4D4078" w:rsidRPr="001F3EE6" w:rsidRDefault="004D4078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1F3EE6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Artículo 153. Contra los actos y resoluciones emitidos por las autoridades municipales en la aplicación de este Reglamento, los interesados afectados podrán interponer los recursos y medios de defensa establecidos en la Ley.</w:t>
            </w:r>
          </w:p>
          <w:p w:rsidR="004D4078" w:rsidRPr="003A6DDE" w:rsidRDefault="004D4078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4D4078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 xml:space="preserve">CAPÍTULO </w:t>
            </w:r>
            <w:r>
              <w:rPr>
                <w:rFonts w:ascii="Arial" w:hAnsi="Arial" w:cs="Arial"/>
                <w:szCs w:val="18"/>
              </w:rPr>
              <w:t>XIII</w:t>
            </w: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>DEL</w:t>
            </w:r>
            <w:r>
              <w:rPr>
                <w:rFonts w:ascii="Arial" w:hAnsi="Arial" w:cs="Arial"/>
                <w:szCs w:val="18"/>
              </w:rPr>
              <w:t xml:space="preserve"> RECURSO ÚNICO DE INCONFORMIDAD</w:t>
            </w: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4D4078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 xml:space="preserve">ARTÍCULO </w:t>
            </w:r>
            <w:r>
              <w:rPr>
                <w:rFonts w:ascii="Arial" w:hAnsi="Arial" w:cs="Arial"/>
                <w:szCs w:val="18"/>
              </w:rPr>
              <w:t>153</w:t>
            </w:r>
            <w:r w:rsidRPr="004B737C">
              <w:rPr>
                <w:rFonts w:ascii="Arial" w:hAnsi="Arial" w:cs="Arial"/>
                <w:szCs w:val="18"/>
              </w:rPr>
              <w:t xml:space="preserve">. El Procedimiento Administrativo </w:t>
            </w:r>
            <w:r>
              <w:rPr>
                <w:rFonts w:ascii="Arial" w:hAnsi="Arial" w:cs="Arial"/>
                <w:szCs w:val="18"/>
              </w:rPr>
              <w:t>Ú</w:t>
            </w:r>
            <w:r w:rsidRPr="004B737C">
              <w:rPr>
                <w:rFonts w:ascii="Arial" w:hAnsi="Arial" w:cs="Arial"/>
                <w:szCs w:val="18"/>
              </w:rPr>
              <w:t xml:space="preserve">nico de </w:t>
            </w:r>
            <w:r>
              <w:rPr>
                <w:rFonts w:ascii="Arial" w:hAnsi="Arial" w:cs="Arial"/>
                <w:szCs w:val="18"/>
              </w:rPr>
              <w:t>R</w:t>
            </w:r>
            <w:r w:rsidRPr="004B737C">
              <w:rPr>
                <w:rFonts w:ascii="Arial" w:hAnsi="Arial" w:cs="Arial"/>
                <w:szCs w:val="18"/>
              </w:rPr>
              <w:t xml:space="preserve">ecurso de </w:t>
            </w:r>
            <w:r>
              <w:rPr>
                <w:rFonts w:ascii="Arial" w:hAnsi="Arial" w:cs="Arial"/>
                <w:szCs w:val="18"/>
              </w:rPr>
              <w:t>I</w:t>
            </w:r>
            <w:r w:rsidRPr="004B737C">
              <w:rPr>
                <w:rFonts w:ascii="Arial" w:hAnsi="Arial" w:cs="Arial"/>
                <w:szCs w:val="18"/>
              </w:rPr>
              <w:t xml:space="preserve">nconformidad procederá en contra de los actos emitidos por las autoridades del </w:t>
            </w:r>
            <w:r>
              <w:rPr>
                <w:rFonts w:ascii="Arial" w:hAnsi="Arial" w:cs="Arial"/>
                <w:szCs w:val="18"/>
              </w:rPr>
              <w:t>M</w:t>
            </w:r>
            <w:r w:rsidRPr="004B737C">
              <w:rPr>
                <w:rFonts w:ascii="Arial" w:hAnsi="Arial" w:cs="Arial"/>
                <w:szCs w:val="18"/>
              </w:rPr>
              <w:t>unicipio de Monterrey, con excepción de aquellos recursos cuyo procedimiento este regulado en la Legislación Estatal.</w:t>
            </w: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4D4078" w:rsidRPr="004B737C" w:rsidRDefault="004D4078" w:rsidP="002637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 xml:space="preserve">ARTÍCULO </w:t>
            </w:r>
            <w:r>
              <w:rPr>
                <w:rFonts w:ascii="Arial" w:hAnsi="Arial" w:cs="Arial"/>
                <w:szCs w:val="18"/>
              </w:rPr>
              <w:t>154</w:t>
            </w:r>
            <w:r w:rsidRPr="004B737C">
              <w:rPr>
                <w:rFonts w:ascii="Arial" w:hAnsi="Arial" w:cs="Arial"/>
                <w:szCs w:val="18"/>
              </w:rPr>
              <w:t xml:space="preserve">. El recurso de </w:t>
            </w:r>
            <w:r>
              <w:rPr>
                <w:rFonts w:ascii="Arial" w:hAnsi="Arial" w:cs="Arial"/>
                <w:szCs w:val="18"/>
              </w:rPr>
              <w:t>I</w:t>
            </w:r>
            <w:r w:rsidRPr="004B737C">
              <w:rPr>
                <w:rFonts w:ascii="Arial" w:hAnsi="Arial" w:cs="Arial"/>
                <w:szCs w:val="18"/>
              </w:rPr>
              <w:t>nconformidad se tramitará conforme a las disposiciones del Reglamento que regula el Procedimiento Único de Inconformidad en el Municipio de Monterrey, y a falta de disposición expresa, se aplicará supletoriamente la Ley de Justicia Administrativa para el Estado y Municipios de Nuevo León en primer término, o el derecho común en segundo término.</w:t>
            </w:r>
          </w:p>
        </w:tc>
      </w:tr>
      <w:tr w:rsidR="004D4078" w:rsidRPr="003A6DDE" w:rsidTr="00263784">
        <w:trPr>
          <w:trHeight w:val="1173"/>
        </w:trPr>
        <w:tc>
          <w:tcPr>
            <w:tcW w:w="4489" w:type="dxa"/>
          </w:tcPr>
          <w:p w:rsidR="004D4078" w:rsidRPr="003A6DDE" w:rsidRDefault="004D4078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4D4078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4D4078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 xml:space="preserve">CAPÍTULO </w:t>
            </w:r>
            <w:r>
              <w:rPr>
                <w:rFonts w:ascii="Arial" w:hAnsi="Arial" w:cs="Arial"/>
                <w:szCs w:val="18"/>
              </w:rPr>
              <w:t>XIV</w:t>
            </w:r>
          </w:p>
          <w:p w:rsidR="004D4078" w:rsidRPr="00D7592A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4D4078" w:rsidRPr="00D7592A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>DEL PROCE</w:t>
            </w:r>
            <w:r>
              <w:rPr>
                <w:rFonts w:ascii="Arial" w:hAnsi="Arial" w:cs="Arial"/>
                <w:szCs w:val="18"/>
              </w:rPr>
              <w:t>DIMIENTO DE REVISIÓN Y CONSULTA</w:t>
            </w:r>
          </w:p>
          <w:p w:rsidR="004D4078" w:rsidRPr="00D7592A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 xml:space="preserve">ARTÍCULO </w:t>
            </w:r>
            <w:r>
              <w:rPr>
                <w:rFonts w:ascii="Arial" w:hAnsi="Arial" w:cs="Arial"/>
                <w:szCs w:val="18"/>
              </w:rPr>
              <w:t>155</w:t>
            </w:r>
            <w:r w:rsidRPr="004B737C">
              <w:rPr>
                <w:rFonts w:ascii="Arial" w:hAnsi="Arial" w:cs="Arial"/>
                <w:szCs w:val="18"/>
              </w:rPr>
              <w:t>. Para la revisión y c</w:t>
            </w:r>
            <w:r>
              <w:rPr>
                <w:rFonts w:ascii="Arial" w:hAnsi="Arial" w:cs="Arial"/>
                <w:szCs w:val="18"/>
              </w:rPr>
              <w:t>onsulta del presente Reglamento</w:t>
            </w:r>
            <w:r w:rsidRPr="004B737C">
              <w:rPr>
                <w:rFonts w:ascii="Arial" w:hAnsi="Arial" w:cs="Arial"/>
                <w:szCs w:val="18"/>
              </w:rPr>
              <w:t xml:space="preserve"> la comunidad podrá hacer llegar sus opiniones y observaciones po</w:t>
            </w:r>
            <w:r>
              <w:rPr>
                <w:rFonts w:ascii="Arial" w:hAnsi="Arial" w:cs="Arial"/>
                <w:szCs w:val="18"/>
              </w:rPr>
              <w:t>r escrito a la Comisión de Gob</w:t>
            </w:r>
            <w:r w:rsidRPr="004B737C">
              <w:rPr>
                <w:rFonts w:ascii="Arial" w:hAnsi="Arial" w:cs="Arial"/>
                <w:szCs w:val="18"/>
              </w:rPr>
              <w:t>ern</w:t>
            </w:r>
            <w:r>
              <w:rPr>
                <w:rFonts w:ascii="Arial" w:hAnsi="Arial" w:cs="Arial"/>
                <w:szCs w:val="18"/>
              </w:rPr>
              <w:t>ación</w:t>
            </w:r>
            <w:r w:rsidRPr="004B737C">
              <w:rPr>
                <w:rFonts w:ascii="Arial" w:hAnsi="Arial" w:cs="Arial"/>
                <w:szCs w:val="18"/>
              </w:rPr>
              <w:t xml:space="preserve">, Reglamentación y Mejora Regulatoria, </w:t>
            </w:r>
            <w:r>
              <w:rPr>
                <w:rFonts w:ascii="Arial" w:hAnsi="Arial" w:cs="Arial"/>
                <w:szCs w:val="18"/>
              </w:rPr>
              <w:t xml:space="preserve">la cual </w:t>
            </w:r>
            <w:r w:rsidRPr="004B737C">
              <w:rPr>
                <w:rFonts w:ascii="Arial" w:hAnsi="Arial" w:cs="Arial"/>
                <w:szCs w:val="18"/>
              </w:rPr>
              <w:t xml:space="preserve">recibirá y atenderá cualquier sugerencia que sea presentada por la ciudadanía. El </w:t>
            </w:r>
            <w:proofErr w:type="spellStart"/>
            <w:r w:rsidRPr="004B737C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4B737C">
              <w:rPr>
                <w:rFonts w:ascii="Arial" w:hAnsi="Arial" w:cs="Arial"/>
                <w:szCs w:val="18"/>
              </w:rPr>
              <w:t xml:space="preserve"> deberá argumentar en el escrito de referencia las razones que sustenten sus opiniones y observaciones con respecto al Reglamento Municipal.</w:t>
            </w: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4D4078" w:rsidRPr="004B737C" w:rsidRDefault="004D4078" w:rsidP="002637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lastRenderedPageBreak/>
              <w:t xml:space="preserve">ARTÍCULO </w:t>
            </w:r>
            <w:r>
              <w:rPr>
                <w:rFonts w:ascii="Arial" w:hAnsi="Arial" w:cs="Arial"/>
                <w:szCs w:val="18"/>
              </w:rPr>
              <w:t>156</w:t>
            </w:r>
            <w:r w:rsidRPr="004B737C">
              <w:rPr>
                <w:rFonts w:ascii="Arial" w:hAnsi="Arial" w:cs="Arial"/>
                <w:szCs w:val="18"/>
              </w:rPr>
              <w:t>. La Comisión deberá en un plazo no mayor a 60 días hábiles, analizar, estudiar y dictaminar sobre las propuestas. En caso de resultar</w:t>
            </w:r>
            <w:r w:rsidRPr="00D7592A">
              <w:rPr>
                <w:rFonts w:ascii="Arial" w:hAnsi="Arial" w:cs="Arial"/>
                <w:szCs w:val="18"/>
              </w:rPr>
              <w:t xml:space="preserve"> fundadas las propuestas planteadas, se hará del conocimiento del Ayuntamiento para su consideración. Se deberá informar al </w:t>
            </w:r>
            <w:proofErr w:type="spellStart"/>
            <w:r w:rsidRPr="00D7592A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D7592A">
              <w:rPr>
                <w:rFonts w:ascii="Arial" w:hAnsi="Arial" w:cs="Arial"/>
                <w:szCs w:val="18"/>
              </w:rPr>
              <w:t xml:space="preserve"> la procedencia o improcedencia de sus propuestas</w:t>
            </w:r>
            <w:r>
              <w:rPr>
                <w:rFonts w:ascii="Arial" w:hAnsi="Arial" w:cs="Arial"/>
                <w:szCs w:val="18"/>
              </w:rPr>
              <w:t>.</w:t>
            </w:r>
          </w:p>
        </w:tc>
      </w:tr>
      <w:tr w:rsidR="004D4078" w:rsidRPr="003A6DDE" w:rsidTr="00263784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  <w:r w:rsidRPr="004B737C">
              <w:rPr>
                <w:rFonts w:ascii="Arial" w:hAnsi="Arial" w:cs="Arial"/>
                <w:b/>
                <w:szCs w:val="18"/>
              </w:rPr>
              <w:t>TRANSITORIO</w:t>
            </w:r>
          </w:p>
          <w:p w:rsidR="004D4078" w:rsidRPr="004B737C" w:rsidRDefault="004D4078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4D4078" w:rsidRPr="004B737C" w:rsidRDefault="004D4078" w:rsidP="00263784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4B737C">
              <w:rPr>
                <w:rFonts w:ascii="Arial" w:hAnsi="Arial"/>
              </w:rPr>
              <w:t xml:space="preserve">ÚNICO. Las presentes </w:t>
            </w:r>
            <w:r w:rsidRPr="00344B17">
              <w:rPr>
                <w:rFonts w:ascii="Arial" w:hAnsi="Arial"/>
              </w:rPr>
              <w:t xml:space="preserve">reformas </w:t>
            </w:r>
            <w:r w:rsidRPr="00344B17">
              <w:rPr>
                <w:rFonts w:ascii="Arial" w:hAnsi="Arial" w:cstheme="minorBidi"/>
              </w:rPr>
              <w:t>entrarán</w:t>
            </w:r>
            <w:r w:rsidRPr="004B737C">
              <w:rPr>
                <w:rFonts w:ascii="Arial" w:hAnsi="Arial" w:cstheme="minorBidi"/>
              </w:rPr>
              <w:t xml:space="preserve"> en vigor </w:t>
            </w:r>
            <w:r>
              <w:rPr>
                <w:rFonts w:ascii="Arial" w:hAnsi="Arial" w:cstheme="minorBidi"/>
              </w:rPr>
              <w:t xml:space="preserve">a partir </w:t>
            </w:r>
            <w:r w:rsidRPr="004B737C">
              <w:rPr>
                <w:rFonts w:ascii="Arial" w:hAnsi="Arial" w:cstheme="minorBidi"/>
              </w:rPr>
              <w:t>de su publicación en el Periódico Oficial del Estado</w:t>
            </w:r>
            <w:r w:rsidRPr="004B737C">
              <w:rPr>
                <w:rFonts w:ascii="Arial" w:hAnsi="Arial"/>
              </w:rPr>
              <w:t>.</w:t>
            </w:r>
          </w:p>
        </w:tc>
      </w:tr>
    </w:tbl>
    <w:p w:rsidR="004D4078" w:rsidRDefault="004D4078" w:rsidP="004D4078"/>
    <w:p w:rsidR="004D4078" w:rsidRDefault="004D4078" w:rsidP="004D4078"/>
    <w:p w:rsidR="004D4078" w:rsidRDefault="004D4078" w:rsidP="004D4078"/>
    <w:p w:rsidR="00E90879" w:rsidRDefault="00E90879">
      <w:bookmarkStart w:id="0" w:name="_GoBack"/>
      <w:bookmarkEnd w:id="0"/>
    </w:p>
    <w:sectPr w:rsidR="00E9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8"/>
    <w:rsid w:val="004D4078"/>
    <w:rsid w:val="00E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E5D38-DF25-4C59-B2AE-D2FE6688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4078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40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4D40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Balderas Reyna</dc:creator>
  <cp:keywords/>
  <dc:description/>
  <cp:lastModifiedBy>Maria Eugenia Balderas Reyna</cp:lastModifiedBy>
  <cp:revision>1</cp:revision>
  <dcterms:created xsi:type="dcterms:W3CDTF">2016-02-15T19:16:00Z</dcterms:created>
  <dcterms:modified xsi:type="dcterms:W3CDTF">2016-02-15T19:16:00Z</dcterms:modified>
</cp:coreProperties>
</file>